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26-369</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401 and 402</w:t>
      </w:r>
    </w:p>
    <w:p>
      <w:pPr>
        <w:spacing w:before="0" w:after="0" w:line="480"/>
        <w:ind w:left="120"/>
        <w:jc w:val="center"/>
      </w:pPr>
      <w:r>
        <w:rPr>
          <w:rFonts w:ascii="Times New Roman" w:hAnsi="Times New Roman"/>
          <w:b w:val="false"/>
          <w:i w:val="false"/>
          <w:color w:val="000000"/>
          <w:sz w:val="24"/>
        </w:rPr>
        <w:t>“Partnerships; S Corporations”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422.7, 422.15, 422.21, and 422.35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videoconference call: </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Tiana Slaney</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w:t>
            </w:r>
            <w:r>
              <w:br/>
            </w:r>
            <w:r>
              <w:rPr>
                <w:rFonts w:ascii="Times New Roman" w:hAnsi="Times New Roman"/>
                <w:b w:val="false"/>
                <w:i w:val="false"/>
                <w:color w:val="000000"/>
                <w:sz w:val="14"/>
              </w:rPr>
              <w:t>Phone: 515.336.9007</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tiana.slaney@iowa.gov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purpose of this proposed rulemaking is to rescind Chapter 401 and replace it with a new chapter that discusses partnerships. The purpose of this rulemaking is also to move content from 701—subrule 501.1(5) to Chapter 402. The rulemaking removes unnecessary language from Chapter 401 and 701—subrule 501.1(5) as required under Executive Order 10. The proposed rulemaking helps taxpayers understand their obligations for filing returns for partnerships and S corporations.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Taxpayers that are required to file returns for partnerships and S corporations and tax practitioners will benefit from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rulemaking has no economic impact beyond that of the statutes it implements.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rulemaking provides information to taxpayers that are required to file returns for partnerships and S corporations.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There is no cost to the State from this proposed rulemaking beyond that of the statute it implements. There is no known cost to any other agency.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There is no anticipated effect on State revenues from this proposed rulemaking. It only provides guidance on the requirements in statute. The guidance could help taxpayers meet their filing obligations more easily, which would reduce any impact on State revenues associated with enforcement.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Without guidance from the Department on these requirements, taxpayers that are partnerships and S corporations operating in Iowa may not comply with filing obligations correctly or may spend time and money requesting guidance from the Department.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only alternative would be not providing guidance at all or providing guidance on a case-by-case, informal basis.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Providing no guidance or providing guidance on a case-by-case, informal basis would likely result in increased costs to the Department and taxpayers through increased questions or requests for guidance and could result in inconsistent guidance given over time.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requirements associated with this rulemaking are imposed by the Iowa Code, and the Department has no authority to make exceptions not already contemplated by the law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401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401</w:t>
      </w:r>
    </w:p>
    <w:p>
      <w:pPr>
        <w:spacing w:before="0" w:after="0" w:line="480"/>
        <w:ind w:left="120"/>
        <w:jc w:val="center"/>
      </w:pPr>
      <w:r>
        <w:rPr>
          <w:rFonts w:ascii="Times New Roman" w:hAnsi="Times New Roman"/>
          <w:b w:val="false"/>
          <w:i w:val="false"/>
          <w:color w:val="000000"/>
          <w:sz w:val="21"/>
        </w:rPr>
        <w:t>PARTNERSHIPS</w:t>
      </w:r>
    </w:p>
    <w:p>
      <w:pPr>
        <w:spacing w:before="0" w:after="0" w:line="480"/>
        <w:ind w:left="120"/>
        <w:jc w:val="both"/>
      </w:pPr>
      <w:r>
        <w:rPr>
          <w:rFonts w:ascii="Times New Roman" w:hAnsi="Times New Roman"/>
          <w:b/>
          <w:i w:val="false"/>
          <w:color w:val="000000"/>
          <w:sz w:val="24"/>
        </w:rPr>
        <w:t>701—401.1</w:t>
      </w:r>
      <w:r>
        <w:rPr>
          <w:rFonts w:ascii="Times New Roman" w:hAnsi="Times New Roman"/>
          <w:b/>
          <w:i w:val="false"/>
          <w:color w:val="000000"/>
          <w:sz w:val="24"/>
        </w:rPr>
        <w:t xml:space="preserve">(422) </w:t>
      </w:r>
      <w:r>
        <w:rPr>
          <w:rFonts w:ascii="Times New Roman" w:hAnsi="Times New Roman"/>
          <w:b/>
          <w:i w:val="false"/>
          <w:color w:val="000000"/>
          <w:sz w:val="24"/>
        </w:rPr>
        <w:t xml:space="preserve">General. </w:t>
      </w:r>
      <w:r>
        <w:rPr>
          <w:rFonts w:ascii="Times New Roman" w:hAnsi="Times New Roman"/>
          <w:b w:val="false"/>
          <w:i w:val="false"/>
          <w:color w:val="000000"/>
          <w:sz w:val="24"/>
        </w:rPr>
        <w:t xml:space="preserve">Every partnership or limited liability company required to file a partnership return of income for federal tax purposes doing business in this state or deriving income from sources within this state is required to file as a partnership for Iowa purposes. Rule </w:t>
      </w:r>
      <w:hyperlink r:id="rId6">
        <w:r>
          <w:rPr>
            <w:rStyle w:val="Hyperlink"/>
            <w:rFonts w:ascii="Times New Roman" w:hAnsi="Times New Roman"/>
            <w:b w:val="false"/>
            <w:i w:val="false"/>
            <w:color w:val="000000"/>
            <w:sz w:val="24"/>
          </w:rPr>
          <w:t>701—501.1</w:t>
        </w:r>
      </w:hyperlink>
      <w:r>
        <w:rPr>
          <w:rFonts w:ascii="Times New Roman" w:hAnsi="Times New Roman"/>
          <w:b w:val="false"/>
          <w:i w:val="false"/>
          <w:color w:val="000000"/>
          <w:sz w:val="24"/>
        </w:rPr>
        <w:t xml:space="preserve">(422) provides more information on specific criteria related to doing business in Iowa or deriving income from real, tangible or intangible property located or having a situs in Iowa. Iowa follows the federal Treasury check-the-box regulation </w:t>
      </w:r>
      <w:r>
        <w:rPr>
          <w:rFonts w:ascii="Times New Roman" w:hAnsi="Times New Roman"/>
          <w:b w:val="false"/>
          <w:i w:val="false"/>
          <w:color w:val="000000"/>
          <w:sz w:val="24"/>
        </w:rPr>
        <w:t>26 CFR §301.7701-3</w:t>
      </w:r>
      <w:r>
        <w:rPr>
          <w:rFonts w:ascii="Times New Roman" w:hAnsi="Times New Roman"/>
          <w:b w:val="false"/>
          <w:i w:val="false"/>
          <w:color w:val="000000"/>
          <w:sz w:val="24"/>
        </w:rPr>
        <w:t xml:space="preserve"> for determination of the tax status of partnerships or limited liability companies, including single-member limited liability companies.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701—401.2</w:t>
      </w:r>
      <w:r>
        <w:rPr>
          <w:rFonts w:ascii="Times New Roman" w:hAnsi="Times New Roman"/>
          <w:b/>
          <w:i w:val="false"/>
          <w:color w:val="000000"/>
          <w:sz w:val="24"/>
        </w:rPr>
        <w:t xml:space="preserve">(422) </w:t>
      </w:r>
      <w:r>
        <w:rPr>
          <w:rFonts w:ascii="Times New Roman" w:hAnsi="Times New Roman"/>
          <w:b/>
          <w:i w:val="false"/>
          <w:color w:val="000000"/>
          <w:sz w:val="24"/>
        </w:rPr>
        <w:t xml:space="preserve">Partnership returns. </w:t>
      </w:r>
      <w:r>
        <w:rPr>
          <w:rFonts w:ascii="Times New Roman" w:hAnsi="Times New Roman"/>
          <w:b w:val="false"/>
          <w:i w:val="false"/>
          <w:color w:val="000000"/>
          <w:sz w:val="24"/>
        </w:rPr>
        <w:t>Every partnership doing business in Iowa or deriving income from real, tangible or intangible property located or having a situs in Iowa must make a return of income regardless of the amount of income or loss and regardless of the residence of the partners. The return shall be made on the proper form and signed by one of the partners. The return shall be made on the same period basis, calendar or fiscal, as the partnership accounts are kept, irrespective of whether the partners are reporting their incomes on a different period basis. The return shall be filed with the department on or before the last day of the fourth month after the expiration of the tax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701—401.3</w:t>
      </w:r>
      <w:r>
        <w:rPr>
          <w:rFonts w:ascii="Times New Roman" w:hAnsi="Times New Roman"/>
          <w:b/>
          <w:i w:val="false"/>
          <w:color w:val="000000"/>
          <w:sz w:val="24"/>
        </w:rPr>
        <w:t xml:space="preserve">(422) </w:t>
      </w:r>
      <w:r>
        <w:rPr>
          <w:rFonts w:ascii="Times New Roman" w:hAnsi="Times New Roman"/>
          <w:b/>
          <w:i w:val="false"/>
          <w:color w:val="000000"/>
          <w:sz w:val="24"/>
        </w:rPr>
        <w:t xml:space="preserve">Distribution and taxation of partnership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w:t>
      </w:r>
      <w:r>
        <w:rPr>
          <w:rFonts w:ascii="Times New Roman" w:hAnsi="Times New Roman"/>
          <w:b w:val="false"/>
          <w:i w:val="false"/>
          <w:color w:val="000000"/>
          <w:sz w:val="24"/>
        </w:rPr>
        <w:t> </w:t>
      </w:r>
      <w:r>
        <w:rPr>
          <w:rFonts w:ascii="Times New Roman" w:hAnsi="Times New Roman"/>
          <w:b w:val="false"/>
          <w:i w:val="false"/>
          <w:color w:val="000000"/>
          <w:sz w:val="24"/>
        </w:rPr>
        <w:t xml:space="preserve">A partnership is not subject to tax unless the partnership makes an election under Iowa Code section </w:t>
      </w:r>
      <w:hyperlink r:id="rId10">
        <w:r>
          <w:rPr>
            <w:rStyle w:val="Hyperlink"/>
            <w:rFonts w:ascii="Times New Roman" w:hAnsi="Times New Roman"/>
            <w:b w:val="false"/>
            <w:i w:val="false"/>
            <w:color w:val="000000"/>
            <w:sz w:val="24"/>
          </w:rPr>
          <w:t>422.16C</w:t>
        </w:r>
      </w:hyperlink>
      <w:r>
        <w:rPr>
          <w:rFonts w:ascii="Times New Roman" w:hAnsi="Times New Roman"/>
          <w:b w:val="false"/>
          <w:i w:val="false"/>
          <w:color w:val="000000"/>
          <w:sz w:val="24"/>
        </w:rPr>
        <w:t xml:space="preserve">, but the members of a partnership are subject to tax, except as otherwise provided in </w:t>
      </w:r>
      <w:hyperlink r:id="rId11">
        <w:r>
          <w:rPr>
            <w:rStyle w:val="Hyperlink"/>
            <w:rFonts w:ascii="Times New Roman" w:hAnsi="Times New Roman"/>
            <w:b w:val="false"/>
            <w:i w:val="false"/>
            <w:color w:val="000000"/>
            <w:sz w:val="24"/>
          </w:rPr>
          <w:t>701—subrule 303.1(6)</w:t>
        </w:r>
      </w:hyperlink>
      <w:r>
        <w:rPr>
          <w:rFonts w:ascii="Times New Roman" w:hAnsi="Times New Roman"/>
          <w:b w:val="false"/>
          <w:i w:val="false"/>
          <w:color w:val="000000"/>
          <w:sz w:val="24"/>
        </w:rPr>
        <w:t xml:space="preserve"> respecting nonresident members, upon their distributive shares of the net income of the partnership, whether distributed to the members or not.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result of the partnership operation is a net loss (i.e., excess of allowable deductions from gross income), the loss may be deducted by the members (except as otherwise provided respecting nonresident members) in the same proportion that net income would have been taxable to the members.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member reports income on the same taxable year basis as that of the partnership, the distributive share of the net income (or loss) of the partnership for the taxable year must be included in or deducted from gross income on the return for that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401.3(4)</w:t>
      </w:r>
      <w:r>
        <w:rPr>
          <w:rFonts w:ascii="Times New Roman" w:hAnsi="Times New Roman"/>
          <w:b w:val="false"/>
          <w:i w:val="false"/>
          <w:color w:val="000000"/>
          <w:sz w:val="24"/>
        </w:rPr>
        <w:t> </w:t>
      </w:r>
      <w:r>
        <w:rPr>
          <w:rFonts w:ascii="Times New Roman" w:hAnsi="Times New Roman"/>
          <w:b w:val="false"/>
          <w:i w:val="false"/>
          <w:color w:val="000000"/>
          <w:sz w:val="24"/>
        </w:rPr>
        <w:t>If the taxable year of the member is different from that of the partnership, distributive shares must be included in, or the proportion of the loss deducted from, gross income for the year in which the taxable year of the partnership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401.3(5)</w:t>
      </w:r>
      <w:r>
        <w:rPr>
          <w:rFonts w:ascii="Times New Roman" w:hAnsi="Times New Roman"/>
          <w:b w:val="false"/>
          <w:i w:val="false"/>
          <w:color w:val="000000"/>
          <w:sz w:val="24"/>
        </w:rPr>
        <w:t> </w:t>
      </w:r>
      <w:r>
        <w:rPr>
          <w:rFonts w:ascii="Times New Roman" w:hAnsi="Times New Roman"/>
          <w:b w:val="false"/>
          <w:i w:val="false"/>
          <w:color w:val="000000"/>
          <w:sz w:val="24"/>
        </w:rPr>
        <w:t xml:space="preserve">Residents of Iowa must report in total their distributive share of partnership income or loss on their Iowa income tax return. Nonresidents must report, for income tax purposes, their distributive share of partnership income or loss as determined under </w:t>
      </w:r>
      <w:hyperlink r:id="rId12">
        <w:r>
          <w:rPr>
            <w:rStyle w:val="Hyperlink"/>
            <w:rFonts w:ascii="Times New Roman" w:hAnsi="Times New Roman"/>
            <w:b w:val="false"/>
            <w:i w:val="false"/>
            <w:color w:val="000000"/>
            <w:sz w:val="24"/>
          </w:rPr>
          <w:t>701—subrule 303.1(7)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402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402</w:t>
      </w:r>
    </w:p>
    <w:p>
      <w:pPr>
        <w:spacing w:before="0" w:after="0" w:line="480"/>
        <w:ind w:left="120"/>
        <w:jc w:val="center"/>
      </w:pPr>
      <w:r>
        <w:rPr>
          <w:rFonts w:ascii="Times New Roman" w:hAnsi="Times New Roman"/>
          <w:b w:val="false"/>
          <w:i w:val="false"/>
          <w:color w:val="000000"/>
          <w:sz w:val="21"/>
        </w:rPr>
        <w:t>S CORPORATIONS</w:t>
      </w:r>
    </w:p>
    <w:p>
      <w:pPr>
        <w:spacing w:before="0" w:after="0" w:line="480"/>
        <w:ind w:left="120"/>
        <w:jc w:val="both"/>
      </w:pPr>
      <w:r>
        <w:rPr>
          <w:rFonts w:ascii="Times New Roman" w:hAnsi="Times New Roman"/>
          <w:b/>
          <w:i w:val="false"/>
          <w:color w:val="000000"/>
          <w:sz w:val="24"/>
        </w:rPr>
        <w:t>701—402.1</w:t>
      </w:r>
      <w:r>
        <w:rPr>
          <w:rFonts w:ascii="Times New Roman" w:hAnsi="Times New Roman"/>
          <w:b/>
          <w:i w:val="false"/>
          <w:color w:val="000000"/>
          <w:sz w:val="24"/>
        </w:rPr>
        <w:t xml:space="preserve">(422) </w:t>
      </w:r>
      <w:r>
        <w:rPr>
          <w:rFonts w:ascii="Times New Roman" w:hAnsi="Times New Roman"/>
          <w:b/>
          <w:i w:val="false"/>
          <w:color w:val="000000"/>
          <w:sz w:val="24"/>
        </w:rPr>
        <w:t xml:space="preserve">Taxation of S corporations, domestic international sales corporations, and real estate investment trusts. </w:t>
      </w:r>
      <w:r>
        <w:rPr>
          <w:rFonts w:ascii="Times New Roman" w:hAnsi="Times New Roman"/>
          <w:b w:val="false"/>
          <w:i w:val="false"/>
          <w:color w:val="000000"/>
          <w:sz w:val="24"/>
        </w:rPr>
        <w:t>Certain corporations and other types of entities that are taxable as corporations for federal purposes may by federal election and qualification have a portion or all of their income taxable to the shareholders or the beneficiaries.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402.1(1)</w:t>
      </w:r>
      <w:r>
        <w:rPr>
          <w:rFonts w:ascii="Times New Roman" w:hAnsi="Times New Roman"/>
          <w:b w:val="false"/>
          <w:i w:val="false"/>
          <w:color w:val="000000"/>
          <w:sz w:val="24"/>
        </w:rPr>
        <w:t> </w:t>
      </w:r>
      <w:r>
        <w:rPr>
          <w:rFonts w:ascii="Times New Roman" w:hAnsi="Times New Roman"/>
          <w:b w:val="false"/>
          <w:i w:val="false"/>
          <w:color w:val="000000"/>
          <w:sz w:val="24"/>
        </w:rPr>
        <w:t>Generally, Iowa follows the federal provisions (with adjustments provided by Iowa law) for determining the amount of income and to whom the income is taxable. The entity’s portion of the net income that is taxable as corporation net income for federal purposes is generally also taxable as Iowa corporation income (with adjustments as provided by Iowa law), and the shareholders or beneficiaries will report on their Iowa returns their share of the organization’s income reportable for federal purposes as shareholder income (with adjustments provided by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Examples of entities that may avail themselves of pass-through provisions for taxation of at least part of their net income 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Real estate investment trusts.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Small business corporations electing to file under Internal Revenue Code (IRC) Sections 1371 through 1378.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Domestic international sales corporations as authorized under IRC Sections 991 through 997.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Certain types of cooperatives.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Regulated investment companies.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Nonresident shareholders or beneficiaries are required to report their distributive share of said income reasonably attributable to Iowa sources. Schedules shall be filed with the individual’s return showing the computation of the income attributable to Iowa sources and the computation of the nonresident taxpayer’s distributive share. Entities with a nonresident beneficiary or shareholder shall include a schedule in the return computing the amount of income as determined under </w:t>
      </w:r>
      <w:hyperlink r:id="rId15">
        <w:r>
          <w:rPr>
            <w:rStyle w:val="Hyperlink"/>
            <w:rFonts w:ascii="Times New Roman" w:hAnsi="Times New Roman"/>
            <w:b w:val="false"/>
            <w:i w:val="false"/>
            <w:color w:val="000000"/>
            <w:sz w:val="24"/>
          </w:rPr>
          <w:t>701—Chapter 503</w:t>
        </w:r>
      </w:hyperlink>
      <w:r>
        <w:rPr>
          <w:rFonts w:ascii="Times New Roman" w:hAnsi="Times New Roman"/>
          <w:b w:val="false"/>
          <w:i w:val="false"/>
          <w:color w:val="000000"/>
          <w:sz w:val="24"/>
        </w:rPr>
        <w:t>. It will be the responsibility of the entity to make the apportionment of the income and supply the nonresident taxpayer with information regarding the nonresident taxpayer’s Iowa taxable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Iowa recognizes the federal election to treat subsidiaries of a parent corporation that has elected S corporation status as qualified subchapter S subsidiaries (QSSSs). To the extent that, for federal income tax purposes, the incomes and expenses of the QSSSs are combined with the parent’s income and expenses, the incomes and expenses must be combined for Iowa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402.1(2)</w:t>
      </w:r>
      <w:r>
        <w:rPr>
          <w:rFonts w:ascii="Times New Roman" w:hAnsi="Times New Roman"/>
          <w:b w:val="false"/>
          <w:i w:val="false"/>
          <w:color w:val="000000"/>
          <w:sz w:val="24"/>
        </w:rPr>
        <w:t> </w:t>
      </w:r>
      <w:r>
        <w:rPr>
          <w:rFonts w:ascii="Times New Roman" w:hAnsi="Times New Roman"/>
          <w:b w:val="false"/>
          <w:i w:val="false"/>
          <w:color w:val="000000"/>
          <w:sz w:val="24"/>
        </w:rPr>
        <w:t>S corporations that are subject to tax on built-in gains under IRC Section 1374 or passive investment income under IRC Section 1375 are subject to Iowa corporation income tax on this income to the extent such income and gains are received from business carried on in Iowa or from sources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starting point for computing the Iowa tax on built-in gains is the amount of built-in gains subject to federal tax after considering the federal income limitation. The starting point for computing the passive investment income subject to Iowa income tax is the amount of passive investment income subject to federal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allocation and apportionment rules of </w:t>
      </w:r>
      <w:hyperlink r:id="rId16">
        <w:r>
          <w:rPr>
            <w:rStyle w:val="Hyperlink"/>
            <w:rFonts w:ascii="Times New Roman" w:hAnsi="Times New Roman"/>
            <w:b w:val="false"/>
            <w:i w:val="false"/>
            <w:color w:val="000000"/>
            <w:sz w:val="24"/>
          </w:rPr>
          <w:t>701—Chapter 503</w:t>
        </w:r>
      </w:hyperlink>
      <w:r>
        <w:rPr>
          <w:rFonts w:ascii="Times New Roman" w:hAnsi="Times New Roman"/>
          <w:b w:val="false"/>
          <w:i w:val="false"/>
          <w:color w:val="000000"/>
          <w:sz w:val="24"/>
        </w:rPr>
        <w:t xml:space="preserve"> apply to nonresident shareholders if the S corporation is carrying on business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net operating loss carryforward arising in a taxable year beginning prior to January 1, 2023, for which the corporation was a C corporation shall be allowed as a deduction against the net recognized built-in gain or passive investment income of the S corporation for the taxable year. For purposes of determining the amount of any such loss that may be carried to any of the 20 subsequent taxable years, after the year of the net operating loss, the amount of the net recognized built-in gain shall be treated as taxable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for estimated and other advance tax payments and any credit carryforward under Iowa Code section </w:t>
      </w:r>
      <w:hyperlink r:id="rId17">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arising in a taxable year for which the corporation was a C corporation, no credits shall be allowed against the built-in gains tax or the tax on capital gains or passive investment income.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tiana.slaney@iowa.gov" Type="http://schemas.openxmlformats.org/officeDocument/2006/relationships/hyperlink" Id="rId5"/>
    <Relationship TargetMode="External" Target="https://www.legis.iowa.gov/docs/iac/rule/701.501.1.pdf" Type="http://schemas.openxmlformats.org/officeDocument/2006/relationships/hyperlink" Id="rId6"/>
    <Relationship TargetMode="External" Target="https://www.legis.iowa.gov/docs/ico/chapter/422.15.pdf" Type="http://schemas.openxmlformats.org/officeDocument/2006/relationships/hyperlink" Id="rId7"/>
    <Relationship TargetMode="External" Target="https://www.legis.iowa.gov/docs/ico/chapter/422.15.pdf" Type="http://schemas.openxmlformats.org/officeDocument/2006/relationships/hyperlink" Id="rId8"/>
    <Relationship TargetMode="External" Target="https://www.legis.iowa.gov/docs/ico/chapter/422.21.pdf" Type="http://schemas.openxmlformats.org/officeDocument/2006/relationships/hyperlink" Id="rId9"/>
    <Relationship TargetMode="External" Target="https://www.legis.iowa.gov/docs/ico/chapter/422.16C.pdf" Type="http://schemas.openxmlformats.org/officeDocument/2006/relationships/hyperlink" Id="rId10"/>
    <Relationship TargetMode="External" Target="https://www.legis.iowa.gov/docs/iac/rule/701.303.1.pdf" Type="http://schemas.openxmlformats.org/officeDocument/2006/relationships/hyperlink" Id="rId11"/>
    <Relationship TargetMode="External" Target="https://www.legis.iowa.gov/docs/iac/rule/701.303.1.pdf" Type="http://schemas.openxmlformats.org/officeDocument/2006/relationships/hyperlink" Id="rId12"/>
    <Relationship TargetMode="External" Target="https://www.legis.iowa.gov/docs/ico/chapter/422.7.pdf" Type="http://schemas.openxmlformats.org/officeDocument/2006/relationships/hyperlink" Id="rId13"/>
    <Relationship TargetMode="External" Target="https://www.legis.iowa.gov/docs/ico/chapter/422.15.pdf" Type="http://schemas.openxmlformats.org/officeDocument/2006/relationships/hyperlink" Id="rId14"/>
    <Relationship TargetMode="External" Target="https://www.legis.iowa.gov/docs/iac/chapter/701.503.pdf" Type="http://schemas.openxmlformats.org/officeDocument/2006/relationships/hyperlink" Id="rId15"/>
    <Relationship TargetMode="External" Target="https://www.legis.iowa.gov/docs/iac/chapter/701.503.pdf" Type="http://schemas.openxmlformats.org/officeDocument/2006/relationships/hyperlink" Id="rId16"/>
    <Relationship TargetMode="External" Target="https://www.legis.iowa.gov/docs/ico/chapter/422.33.pdf" Type="http://schemas.openxmlformats.org/officeDocument/2006/relationships/hyperlink" Id="rId17"/>
    <Relationship TargetMode="External" Target="https://www.legis.iowa.gov/docs/ico/chapter/422.3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